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lang w:val="ru-RU"/>
        </w:rPr>
      </w:pPr>
      <w:r>
        <w:rPr>
          <w:lang w:val="ru-RU"/>
        </w:rPr>
        <w:t xml:space="preserve">Окружающий мир 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lang w:val="ru-RU"/>
        </w:rPr>
        <w:t>Тема «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Весенние изменения в живой и неживой природе. Наблюдение за поведением животных весной»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Учебник ( стр. 55-59) — прочитать, ответить на вопросы.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lang w:val="ru-RU"/>
        </w:rPr>
      </w:pPr>
      <w:r>
        <w:rPr>
          <w:lang w:val="ru-RU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Ari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2020-03-17T12:27:33Z</dcterms:created>
  <cp:revision>0</cp:revision>
</cp:coreProperties>
</file>